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ind w:firstLine="630"/>
        <w:jc w:val="center"/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附件2：</w:t>
      </w:r>
      <w:bookmarkStart w:id="0" w:name="_GoBack"/>
      <w:r>
        <w:rPr>
          <w:rFonts w:hint="eastAsia"/>
          <w:b/>
          <w:color w:val="auto"/>
          <w:sz w:val="24"/>
          <w:szCs w:val="24"/>
        </w:rPr>
        <w:t>信息学院国家奖学金评选量化表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3570"/>
        <w:gridCol w:w="219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before="50"/>
              <w:jc w:val="center"/>
              <w:rPr>
                <w:rFonts w:hint="eastAsia"/>
                <w:color w:val="auto"/>
                <w:sz w:val="20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</w:rPr>
              <w:t>项 目</w:t>
            </w:r>
          </w:p>
        </w:tc>
        <w:tc>
          <w:tcPr>
            <w:tcW w:w="4650" w:type="dxa"/>
            <w:gridSpan w:val="2"/>
            <w:noWrap w:val="0"/>
            <w:vAlign w:val="center"/>
          </w:tcPr>
          <w:p>
            <w:pPr>
              <w:spacing w:before="50"/>
              <w:jc w:val="center"/>
              <w:rPr>
                <w:rFonts w:hint="eastAsia"/>
                <w:b/>
                <w:color w:val="auto"/>
                <w:sz w:val="20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</w:rPr>
              <w:t>评分指标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before="50"/>
              <w:jc w:val="center"/>
              <w:rPr>
                <w:rFonts w:hint="eastAsia"/>
                <w:b/>
                <w:color w:val="auto"/>
                <w:sz w:val="20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</w:rPr>
              <w:t>分 值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before="50"/>
              <w:jc w:val="center"/>
              <w:rPr>
                <w:rFonts w:hint="eastAsia"/>
                <w:b/>
                <w:color w:val="auto"/>
                <w:sz w:val="20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专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实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践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（</w:t>
            </w: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40</w:t>
            </w:r>
            <w:r>
              <w:rPr>
                <w:rFonts w:hint="eastAsia" w:ascii="宋体" w:hAnsi="宋体"/>
                <w:color w:val="auto"/>
                <w:sz w:val="20"/>
                <w:szCs w:val="22"/>
              </w:rPr>
              <w:t>%）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发表学术论文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在一类期刊上以第1作者或通讯作者发表论文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30分/每篇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在二类期刊上以第1作者发表论文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20分/每篇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在三类期刊上以第1作者发表论文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15分/每篇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在四类期刊上以第1作者发表论文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5分/每篇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软件著作权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拥有国家承认的软件著作权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2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2"/>
              </w:rPr>
              <w:t>分/项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专业比赛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国家一等奖、二等奖、三等奖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20分、15分、10分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省级一等奖、二等奖、三等奖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10分、6分、4分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校级一等奖、二等奖、三等奖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4分、2分、1分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院级一等奖、二等奖、三等奖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1分、0.5分、0.2分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考级考证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color w:val="auto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2"/>
                <w:lang w:eastAsia="zh-CN"/>
              </w:rPr>
              <w:t>英语四六级</w:t>
            </w:r>
            <w:r>
              <w:rPr>
                <w:rFonts w:hint="default" w:ascii="宋体" w:hAnsi="宋体" w:eastAsia="宋体" w:cs="Times New Roman"/>
                <w:color w:val="auto"/>
                <w:sz w:val="20"/>
                <w:szCs w:val="22"/>
                <w:lang w:eastAsia="zh-CN"/>
              </w:rPr>
              <w:t>、</w:t>
            </w:r>
            <w:r>
              <w:rPr>
                <w:rFonts w:hint="default" w:ascii="宋体" w:hAnsi="宋体" w:eastAsia="宋体" w:cs="Times New Roman"/>
                <w:color w:val="auto"/>
                <w:sz w:val="20"/>
                <w:szCs w:val="22"/>
              </w:rPr>
              <w:t>雅思、托福</w:t>
            </w:r>
            <w:r>
              <w:rPr>
                <w:rFonts w:hint="default" w:ascii="宋体" w:hAnsi="宋体" w:eastAsia="宋体" w:cs="Times New Roman"/>
                <w:color w:val="auto"/>
                <w:sz w:val="20"/>
                <w:szCs w:val="22"/>
                <w:lang w:eastAsia="zh-CN"/>
              </w:rPr>
              <w:t>、</w:t>
            </w:r>
            <w:r>
              <w:rPr>
                <w:rFonts w:hint="default" w:ascii="宋体" w:hAnsi="宋体" w:eastAsia="宋体" w:cs="Times New Roman"/>
                <w:color w:val="auto"/>
                <w:sz w:val="20"/>
                <w:szCs w:val="22"/>
              </w:rPr>
              <w:t>计算机等级、</w:t>
            </w:r>
            <w:r>
              <w:rPr>
                <w:rFonts w:hint="default" w:ascii="宋体" w:hAnsi="宋体" w:eastAsia="宋体" w:cs="Times New Roman"/>
                <w:color w:val="auto"/>
                <w:sz w:val="20"/>
                <w:szCs w:val="22"/>
                <w:lang w:eastAsia="zh-CN"/>
              </w:rPr>
              <w:t>华为认证、思科认证</w:t>
            </w:r>
            <w:r>
              <w:rPr>
                <w:rFonts w:hint="default" w:ascii="宋体" w:hAnsi="宋体" w:eastAsia="宋体" w:cs="Times New Roman"/>
                <w:color w:val="auto"/>
                <w:sz w:val="20"/>
                <w:szCs w:val="22"/>
              </w:rPr>
              <w:t>等</w:t>
            </w:r>
            <w:r>
              <w:rPr>
                <w:rFonts w:hint="default" w:ascii="宋体" w:hAnsi="宋体" w:eastAsia="宋体" w:cs="Times New Roman"/>
                <w:color w:val="auto"/>
                <w:sz w:val="20"/>
                <w:szCs w:val="22"/>
                <w:lang w:eastAsia="zh-CN"/>
              </w:rPr>
              <w:t>考试</w:t>
            </w:r>
            <w:r>
              <w:rPr>
                <w:rFonts w:hint="eastAsia" w:ascii="宋体" w:hAnsi="宋体" w:eastAsia="宋体" w:cs="Times New Roman"/>
                <w:color w:val="auto"/>
                <w:sz w:val="20"/>
                <w:szCs w:val="22"/>
                <w:lang w:val="en-US" w:eastAsia="zh-CN"/>
              </w:rPr>
              <w:t>等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2"/>
                <w:lang w:val="en-US" w:eastAsia="zh-CN"/>
              </w:rPr>
              <w:t>1-3分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科研创新项目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主持国家级大学生科研创新项目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2"/>
              </w:rPr>
              <w:t>分/项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主持省级大学生科研创新项目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2"/>
              </w:rPr>
              <w:t>分/项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主持校级大学生科研创新项目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2"/>
              </w:rPr>
              <w:t>分/项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发明专利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发明专利、国家实用新型专利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30分/项、20分/项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实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践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（</w:t>
            </w: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20"/>
                <w:szCs w:val="22"/>
              </w:rPr>
              <w:t>%）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文体活动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省级一等奖、二等奖、三等奖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10分、6分、4分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校级一等奖、二等奖、三等奖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4分、2分、1分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院级一等奖、二等奖、三等奖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1分、0.5分、0.2分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社会实践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主持校级暑期社会实践项目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5分/项（重点8分/项）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其他社会实践活动，有报道、总结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1分/次（最高3分）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先进个人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校级</w:t>
            </w:r>
            <w:r>
              <w:rPr>
                <w:rFonts w:hint="eastAsia" w:ascii="宋体" w:hAnsi="宋体"/>
                <w:color w:val="auto"/>
                <w:sz w:val="20"/>
                <w:szCs w:val="22"/>
              </w:rPr>
              <w:t>三好学生、</w:t>
            </w: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校级</w:t>
            </w:r>
            <w:r>
              <w:rPr>
                <w:rFonts w:hint="eastAsia" w:ascii="宋体" w:hAnsi="宋体"/>
                <w:color w:val="auto"/>
                <w:sz w:val="20"/>
                <w:szCs w:val="22"/>
              </w:rPr>
              <w:t>优秀学生干部、</w:t>
            </w: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校级</w:t>
            </w:r>
            <w:r>
              <w:rPr>
                <w:rFonts w:hint="eastAsia" w:ascii="宋体" w:hAnsi="宋体"/>
                <w:color w:val="auto"/>
                <w:sz w:val="20"/>
                <w:szCs w:val="22"/>
              </w:rPr>
              <w:t>优秀共青团员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1分/项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暑期社会实践先进个人、军训先进个人等其他称号（仅认校级）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0.5分/项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院部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评定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（</w:t>
            </w: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20"/>
                <w:szCs w:val="22"/>
              </w:rPr>
              <w:t>%）</w:t>
            </w:r>
          </w:p>
        </w:tc>
        <w:tc>
          <w:tcPr>
            <w:tcW w:w="46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评审学年</w:t>
            </w:r>
            <w:r>
              <w:rPr>
                <w:rFonts w:hint="eastAsia" w:ascii="宋体" w:hAnsi="宋体"/>
                <w:color w:val="auto"/>
                <w:sz w:val="20"/>
                <w:szCs w:val="22"/>
              </w:rPr>
              <w:t>综合测评、智育均为班级第1名</w:t>
            </w:r>
            <w:r>
              <w:rPr>
                <w:rFonts w:hint="eastAsia" w:ascii="宋体" w:hAnsi="宋体"/>
                <w:color w:val="auto"/>
                <w:sz w:val="20"/>
                <w:szCs w:val="22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10分；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以往学年获得一等学金每次3分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</w:p>
        </w:tc>
        <w:tc>
          <w:tcPr>
            <w:tcW w:w="465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党员（含预备党员</w:t>
            </w:r>
            <w:r>
              <w:rPr>
                <w:rFonts w:hint="eastAsia" w:ascii="宋体" w:hAnsi="宋体"/>
                <w:color w:val="auto"/>
                <w:sz w:val="20"/>
                <w:szCs w:val="22"/>
                <w:lang w:eastAsia="zh-CN"/>
              </w:rPr>
              <w:t>）、</w:t>
            </w: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班级、</w:t>
            </w:r>
            <w:r>
              <w:rPr>
                <w:rFonts w:hint="eastAsia" w:ascii="宋体" w:hAnsi="宋体"/>
                <w:color w:val="auto"/>
                <w:sz w:val="20"/>
                <w:szCs w:val="22"/>
              </w:rPr>
              <w:t>学生会主要干部（副部长及以上）</w:t>
            </w:r>
            <w:r>
              <w:rPr>
                <w:rFonts w:hint="eastAsia" w:ascii="宋体" w:hAnsi="宋体"/>
                <w:color w:val="auto"/>
                <w:sz w:val="20"/>
                <w:szCs w:val="22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0"/>
                <w:szCs w:val="22"/>
                <w:lang w:val="en-US" w:eastAsia="zh-CN"/>
              </w:rPr>
              <w:t>不累计加分，最高10分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auto"/>
                <w:sz w:val="20"/>
                <w:szCs w:val="22"/>
                <w:lang w:val="en-US"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总分</w:t>
            </w:r>
          </w:p>
        </w:tc>
        <w:tc>
          <w:tcPr>
            <w:tcW w:w="465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0"/>
                <w:szCs w:val="22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rFonts w:hint="eastAsia" w:ascii="楷体" w:hAnsi="楷体" w:eastAsia="楷体"/>
          <w:b/>
          <w:bCs/>
          <w:color w:val="auto"/>
          <w:sz w:val="22"/>
          <w:szCs w:val="22"/>
        </w:rPr>
      </w:pPr>
    </w:p>
    <w:p>
      <w:pPr>
        <w:adjustRightInd w:val="0"/>
        <w:snapToGrid w:val="0"/>
        <w:spacing w:line="300" w:lineRule="exact"/>
        <w:rPr>
          <w:rFonts w:hint="eastAsia" w:ascii="楷体" w:hAnsi="楷体" w:eastAsia="楷体"/>
          <w:b/>
          <w:bCs/>
          <w:color w:val="auto"/>
          <w:sz w:val="22"/>
          <w:szCs w:val="22"/>
        </w:rPr>
      </w:pPr>
    </w:p>
    <w:p>
      <w:pPr>
        <w:adjustRightInd w:val="0"/>
        <w:snapToGrid w:val="0"/>
        <w:spacing w:line="300" w:lineRule="exact"/>
        <w:rPr>
          <w:rFonts w:hint="eastAsia" w:ascii="楷体" w:hAnsi="楷体" w:eastAsia="楷体"/>
          <w:b/>
          <w:bCs/>
          <w:color w:val="auto"/>
          <w:sz w:val="22"/>
          <w:szCs w:val="22"/>
        </w:rPr>
      </w:pPr>
    </w:p>
    <w:p>
      <w:pPr>
        <w:adjustRightInd w:val="0"/>
        <w:snapToGrid w:val="0"/>
        <w:spacing w:line="300" w:lineRule="exact"/>
        <w:rPr>
          <w:rFonts w:hint="eastAsia" w:ascii="楷体" w:hAnsi="楷体" w:eastAsia="楷体"/>
          <w:b/>
          <w:bCs/>
          <w:color w:val="auto"/>
          <w:sz w:val="22"/>
          <w:szCs w:val="22"/>
        </w:rPr>
      </w:pPr>
    </w:p>
    <w:p>
      <w:pPr>
        <w:adjustRightInd w:val="0"/>
        <w:snapToGrid w:val="0"/>
        <w:spacing w:line="300" w:lineRule="exact"/>
        <w:rPr>
          <w:rFonts w:hint="eastAsia" w:ascii="楷体" w:hAnsi="楷体" w:eastAsia="楷体"/>
          <w:b/>
          <w:bCs/>
          <w:color w:val="auto"/>
          <w:sz w:val="22"/>
          <w:szCs w:val="22"/>
        </w:rPr>
      </w:pPr>
    </w:p>
    <w:p>
      <w:pPr>
        <w:adjustRightInd w:val="0"/>
        <w:snapToGrid w:val="0"/>
        <w:spacing w:line="300" w:lineRule="exact"/>
        <w:rPr>
          <w:rFonts w:hint="eastAsia" w:ascii="楷体" w:hAnsi="楷体" w:eastAsia="楷体"/>
          <w:b/>
          <w:bCs/>
          <w:color w:val="auto"/>
          <w:sz w:val="22"/>
          <w:szCs w:val="22"/>
        </w:rPr>
      </w:pPr>
    </w:p>
    <w:p>
      <w:pPr>
        <w:adjustRightInd w:val="0"/>
        <w:snapToGrid w:val="0"/>
        <w:spacing w:line="300" w:lineRule="exact"/>
        <w:rPr>
          <w:rFonts w:hint="eastAsia" w:ascii="楷体" w:hAnsi="楷体" w:eastAsia="楷体"/>
          <w:b/>
          <w:bCs/>
          <w:color w:val="auto"/>
          <w:sz w:val="22"/>
          <w:szCs w:val="22"/>
        </w:rPr>
      </w:pPr>
    </w:p>
    <w:p>
      <w:pPr>
        <w:adjustRightInd w:val="0"/>
        <w:snapToGrid w:val="0"/>
        <w:spacing w:line="300" w:lineRule="exact"/>
        <w:rPr>
          <w:rFonts w:hint="eastAsia" w:ascii="楷体" w:hAnsi="楷体" w:eastAsia="楷体"/>
          <w:b/>
          <w:bCs/>
          <w:color w:val="auto"/>
          <w:sz w:val="22"/>
          <w:szCs w:val="22"/>
        </w:rPr>
      </w:pPr>
    </w:p>
    <w:p>
      <w:pPr>
        <w:adjustRightInd w:val="0"/>
        <w:snapToGrid w:val="0"/>
        <w:spacing w:line="300" w:lineRule="exact"/>
        <w:rPr>
          <w:rFonts w:hint="eastAsia" w:ascii="楷体" w:hAnsi="楷体" w:eastAsia="楷体"/>
          <w:b/>
          <w:bCs/>
          <w:color w:val="auto"/>
          <w:sz w:val="22"/>
          <w:szCs w:val="22"/>
        </w:rPr>
      </w:pPr>
    </w:p>
    <w:p>
      <w:pPr>
        <w:adjustRightInd w:val="0"/>
        <w:snapToGrid w:val="0"/>
        <w:spacing w:line="300" w:lineRule="exact"/>
        <w:rPr>
          <w:rFonts w:hint="eastAsia" w:ascii="楷体" w:hAnsi="楷体" w:eastAsia="楷体"/>
          <w:b/>
          <w:bCs/>
          <w:color w:val="auto"/>
          <w:sz w:val="22"/>
          <w:szCs w:val="22"/>
        </w:rPr>
      </w:pPr>
    </w:p>
    <w:p>
      <w:pPr>
        <w:adjustRightInd w:val="0"/>
        <w:snapToGrid w:val="0"/>
        <w:spacing w:line="300" w:lineRule="exact"/>
        <w:rPr>
          <w:rFonts w:hint="eastAsia" w:ascii="楷体" w:hAnsi="楷体" w:eastAsia="楷体"/>
          <w:b/>
          <w:bCs/>
          <w:color w:val="auto"/>
          <w:sz w:val="22"/>
          <w:szCs w:val="22"/>
        </w:rPr>
      </w:pPr>
    </w:p>
    <w:p>
      <w:pPr>
        <w:adjustRightInd w:val="0"/>
        <w:snapToGrid w:val="0"/>
        <w:spacing w:line="300" w:lineRule="exact"/>
        <w:rPr>
          <w:rFonts w:hint="eastAsia" w:ascii="楷体" w:hAnsi="楷体" w:eastAsia="楷体"/>
          <w:b/>
          <w:bCs/>
          <w:color w:val="auto"/>
          <w:sz w:val="22"/>
          <w:szCs w:val="22"/>
        </w:rPr>
      </w:pPr>
      <w:r>
        <w:rPr>
          <w:rFonts w:hint="eastAsia" w:ascii="楷体" w:hAnsi="楷体" w:eastAsia="楷体"/>
          <w:b/>
          <w:bCs/>
          <w:color w:val="auto"/>
          <w:sz w:val="22"/>
          <w:szCs w:val="22"/>
        </w:rPr>
        <w:t>备注：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left="357" w:hanging="357"/>
        <w:rPr>
          <w:rFonts w:hint="eastAsia" w:ascii="楷体" w:hAnsi="楷体" w:eastAsia="楷体"/>
          <w:color w:val="auto"/>
          <w:sz w:val="22"/>
          <w:szCs w:val="22"/>
        </w:rPr>
      </w:pPr>
      <w:r>
        <w:rPr>
          <w:rFonts w:hint="eastAsia" w:ascii="楷体" w:hAnsi="楷体" w:eastAsia="楷体"/>
          <w:color w:val="auto"/>
          <w:sz w:val="22"/>
          <w:szCs w:val="22"/>
        </w:rPr>
        <w:t>以上各成果统计均以“主持人”或“排名第一”计算，其中排名第二、第三分别占比重为（50%、30%）。排名前3后成果不计。科研论文类仅计算排名前2位，其中若排名第2，需详细说明本人的贡献，并经院学术委员会认定。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left="357" w:hanging="357"/>
        <w:rPr>
          <w:rFonts w:hint="eastAsia" w:ascii="楷体" w:hAnsi="楷体" w:eastAsia="楷体"/>
          <w:color w:val="auto"/>
          <w:sz w:val="22"/>
          <w:szCs w:val="22"/>
        </w:rPr>
      </w:pPr>
      <w:r>
        <w:rPr>
          <w:rFonts w:hint="eastAsia" w:ascii="楷体" w:hAnsi="楷体" w:eastAsia="楷体"/>
          <w:color w:val="auto"/>
          <w:sz w:val="22"/>
          <w:szCs w:val="22"/>
        </w:rPr>
        <w:t>官方专业比赛按100%计算，其他非官方比赛按80%折算；官方比赛是指以安徽省教育厅、科技厅、团省委等组织的比赛，如</w:t>
      </w:r>
      <w:r>
        <w:rPr>
          <w:rFonts w:hint="eastAsia" w:ascii="楷体" w:hAnsi="楷体" w:eastAsia="楷体"/>
          <w:b/>
          <w:color w:val="auto"/>
          <w:sz w:val="22"/>
          <w:szCs w:val="22"/>
        </w:rPr>
        <w:t>中国计算机设计大赛、飞思卡尔智能车比赛、安徽省机器人大赛、安徽省物联网大赛、挑战杯</w:t>
      </w:r>
      <w:r>
        <w:rPr>
          <w:rFonts w:hint="eastAsia" w:ascii="楷体" w:hAnsi="楷体" w:eastAsia="楷体"/>
          <w:color w:val="auto"/>
          <w:sz w:val="22"/>
          <w:szCs w:val="22"/>
        </w:rPr>
        <w:t>等。文体活动加分项以</w:t>
      </w:r>
      <w:r>
        <w:rPr>
          <w:rFonts w:hint="eastAsia" w:ascii="楷体" w:hAnsi="楷体" w:eastAsia="楷体"/>
          <w:b/>
          <w:color w:val="auto"/>
          <w:sz w:val="22"/>
          <w:szCs w:val="22"/>
        </w:rPr>
        <w:t>校运动会、综合运动会各比赛、大学生职业生涯设计大赛、数学竞赛等</w:t>
      </w:r>
      <w:r>
        <w:rPr>
          <w:rFonts w:hint="eastAsia" w:ascii="楷体" w:hAnsi="楷体" w:eastAsia="楷体"/>
          <w:color w:val="auto"/>
          <w:sz w:val="22"/>
          <w:szCs w:val="22"/>
        </w:rPr>
        <w:t>按100%计算，其余由学校各职能部门组织的比赛按80%折算，社团组织的比赛按30%折算；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left="357" w:hanging="357"/>
        <w:rPr>
          <w:rFonts w:hint="eastAsia" w:ascii="楷体" w:hAnsi="楷体" w:eastAsia="楷体"/>
          <w:color w:val="auto"/>
          <w:sz w:val="22"/>
          <w:szCs w:val="22"/>
        </w:rPr>
      </w:pPr>
      <w:r>
        <w:rPr>
          <w:rFonts w:hint="eastAsia" w:ascii="楷体" w:hAnsi="楷体" w:eastAsia="楷体"/>
          <w:color w:val="auto"/>
          <w:sz w:val="22"/>
          <w:szCs w:val="22"/>
        </w:rPr>
        <w:t>专业实践、社会实践，同一成果以级别高的计算，不重复计算。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left="357" w:hanging="357"/>
        <w:rPr>
          <w:rFonts w:hint="eastAsia" w:ascii="楷体" w:hAnsi="楷体" w:eastAsia="楷体"/>
          <w:color w:val="auto"/>
          <w:sz w:val="22"/>
          <w:szCs w:val="22"/>
        </w:rPr>
      </w:pPr>
      <w:r>
        <w:rPr>
          <w:rFonts w:hint="eastAsia" w:ascii="楷体" w:hAnsi="楷体" w:eastAsia="楷体"/>
          <w:color w:val="auto"/>
          <w:sz w:val="22"/>
          <w:szCs w:val="22"/>
        </w:rPr>
        <w:t>文体活动类如无等级，按前8名统计，其中一等奖为第1名，二等奖为第2-4名，三等奖为第5-8名。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left="357" w:hanging="357"/>
        <w:rPr>
          <w:rFonts w:hint="eastAsia" w:ascii="楷体" w:hAnsi="楷体" w:eastAsia="楷体"/>
          <w:color w:val="auto"/>
          <w:sz w:val="22"/>
          <w:szCs w:val="22"/>
        </w:rPr>
      </w:pPr>
      <w:r>
        <w:rPr>
          <w:rFonts w:hint="default" w:ascii="楷体" w:hAnsi="楷体" w:eastAsia="楷体" w:cs="Times New Roman"/>
          <w:color w:val="auto"/>
          <w:sz w:val="22"/>
          <w:szCs w:val="22"/>
        </w:rPr>
        <w:t>考级考证主要包括：通过</w:t>
      </w:r>
      <w:r>
        <w:rPr>
          <w:rFonts w:hint="eastAsia" w:ascii="楷体" w:hAnsi="楷体" w:eastAsia="楷体" w:cs="Times New Roman"/>
          <w:color w:val="auto"/>
          <w:sz w:val="22"/>
          <w:szCs w:val="22"/>
          <w:lang w:eastAsia="zh-CN"/>
        </w:rPr>
        <w:t>英语四六级</w:t>
      </w:r>
      <w:r>
        <w:rPr>
          <w:rFonts w:hint="default" w:ascii="楷体" w:hAnsi="楷体" w:eastAsia="楷体" w:cs="Times New Roman"/>
          <w:color w:val="auto"/>
          <w:sz w:val="22"/>
          <w:szCs w:val="22"/>
          <w:lang w:eastAsia="zh-CN"/>
        </w:rPr>
        <w:t>、</w:t>
      </w:r>
      <w:r>
        <w:rPr>
          <w:rFonts w:hint="default" w:ascii="楷体" w:hAnsi="楷体" w:eastAsia="楷体" w:cs="Times New Roman"/>
          <w:color w:val="auto"/>
          <w:sz w:val="22"/>
          <w:szCs w:val="22"/>
        </w:rPr>
        <w:t>雅思、托福</w:t>
      </w:r>
      <w:r>
        <w:rPr>
          <w:rFonts w:hint="default" w:ascii="楷体" w:hAnsi="楷体" w:eastAsia="楷体" w:cs="Times New Roman"/>
          <w:color w:val="auto"/>
          <w:sz w:val="22"/>
          <w:szCs w:val="22"/>
          <w:lang w:eastAsia="zh-CN"/>
        </w:rPr>
        <w:t>、</w:t>
      </w:r>
      <w:r>
        <w:rPr>
          <w:rFonts w:hint="default" w:ascii="楷体" w:hAnsi="楷体" w:eastAsia="楷体" w:cs="Times New Roman"/>
          <w:color w:val="auto"/>
          <w:sz w:val="22"/>
          <w:szCs w:val="22"/>
        </w:rPr>
        <w:t>计算机等级、</w:t>
      </w:r>
      <w:r>
        <w:rPr>
          <w:rFonts w:hint="default" w:ascii="楷体" w:hAnsi="楷体" w:eastAsia="楷体" w:cs="Times New Roman"/>
          <w:color w:val="auto"/>
          <w:sz w:val="22"/>
          <w:szCs w:val="22"/>
          <w:lang w:eastAsia="zh-CN"/>
        </w:rPr>
        <w:t>华为认证、思科认证</w:t>
      </w:r>
      <w:r>
        <w:rPr>
          <w:rFonts w:hint="default" w:ascii="楷体" w:hAnsi="楷体" w:eastAsia="楷体" w:cs="Times New Roman"/>
          <w:color w:val="auto"/>
          <w:sz w:val="22"/>
          <w:szCs w:val="22"/>
        </w:rPr>
        <w:t>等</w:t>
      </w:r>
      <w:r>
        <w:rPr>
          <w:rFonts w:hint="default" w:ascii="楷体" w:hAnsi="楷体" w:eastAsia="楷体" w:cs="Times New Roman"/>
          <w:color w:val="auto"/>
          <w:sz w:val="22"/>
          <w:szCs w:val="22"/>
          <w:lang w:eastAsia="zh-CN"/>
        </w:rPr>
        <w:t>考试</w:t>
      </w:r>
      <w:r>
        <w:rPr>
          <w:rFonts w:hint="default" w:ascii="楷体" w:hAnsi="楷体" w:eastAsia="楷体" w:cs="Times New Roman"/>
          <w:color w:val="auto"/>
          <w:sz w:val="22"/>
          <w:szCs w:val="22"/>
        </w:rPr>
        <w:t>；获劳动技术鉴定部门颁发或行业认定的各类专业技能资格证书等</w:t>
      </w:r>
      <w:r>
        <w:rPr>
          <w:rFonts w:hint="default" w:ascii="楷体" w:hAnsi="楷体" w:eastAsia="楷体" w:cs="Times New Roman"/>
          <w:color w:val="auto"/>
          <w:sz w:val="22"/>
          <w:szCs w:val="22"/>
          <w:lang w:eastAsia="zh-CN"/>
        </w:rPr>
        <w:t>（不包括驾驶证），</w:t>
      </w:r>
      <w:r>
        <w:rPr>
          <w:rFonts w:hint="default" w:ascii="楷体" w:hAnsi="楷体" w:eastAsia="楷体" w:cs="Times New Roman"/>
          <w:color w:val="auto"/>
          <w:sz w:val="22"/>
          <w:szCs w:val="22"/>
        </w:rPr>
        <w:t>雅思、托福</w:t>
      </w:r>
      <w:r>
        <w:rPr>
          <w:rFonts w:hint="default" w:ascii="楷体" w:hAnsi="楷体" w:eastAsia="楷体" w:cs="Times New Roman"/>
          <w:color w:val="auto"/>
          <w:sz w:val="22"/>
          <w:szCs w:val="22"/>
          <w:lang w:eastAsia="zh-CN"/>
        </w:rPr>
        <w:t>、计算机四级、英语六级、CCNP、CCIE、华为认证等按</w:t>
      </w:r>
      <w:r>
        <w:rPr>
          <w:rFonts w:hint="eastAsia" w:ascii="楷体" w:hAnsi="楷体" w:eastAsia="楷体" w:cs="Times New Roman"/>
          <w:color w:val="auto"/>
          <w:sz w:val="22"/>
          <w:szCs w:val="22"/>
          <w:lang w:val="en-US" w:eastAsia="zh-CN"/>
        </w:rPr>
        <w:t>3</w:t>
      </w:r>
      <w:r>
        <w:rPr>
          <w:rFonts w:hint="default" w:ascii="楷体" w:hAnsi="楷体" w:eastAsia="楷体" w:cs="Times New Roman"/>
          <w:color w:val="auto"/>
          <w:sz w:val="22"/>
          <w:szCs w:val="22"/>
          <w:lang w:val="en-US" w:eastAsia="zh-CN"/>
        </w:rPr>
        <w:t>分计，其他</w:t>
      </w:r>
      <w:r>
        <w:rPr>
          <w:rFonts w:hint="default" w:ascii="楷体" w:hAnsi="楷体" w:eastAsia="楷体" w:cs="Times New Roman"/>
          <w:color w:val="auto"/>
          <w:sz w:val="22"/>
          <w:szCs w:val="22"/>
          <w:lang w:eastAsia="zh-CN"/>
        </w:rPr>
        <w:t>每项按</w:t>
      </w:r>
      <w:r>
        <w:rPr>
          <w:rFonts w:hint="eastAsia" w:ascii="楷体" w:hAnsi="楷体" w:eastAsia="楷体" w:cs="Times New Roman"/>
          <w:color w:val="auto"/>
          <w:sz w:val="22"/>
          <w:szCs w:val="22"/>
          <w:lang w:val="en-US" w:eastAsia="zh-CN"/>
        </w:rPr>
        <w:t>1</w:t>
      </w:r>
      <w:r>
        <w:rPr>
          <w:rFonts w:hint="default" w:ascii="楷体" w:hAnsi="楷体" w:eastAsia="楷体" w:cs="Times New Roman"/>
          <w:color w:val="auto"/>
          <w:sz w:val="22"/>
          <w:szCs w:val="22"/>
          <w:lang w:val="en-US" w:eastAsia="zh-CN"/>
        </w:rPr>
        <w:t>分计。</w:t>
      </w:r>
    </w:p>
    <w:p>
      <w:pPr>
        <w:widowControl/>
        <w:spacing w:line="620" w:lineRule="exact"/>
        <w:ind w:firstLine="643"/>
        <w:rPr>
          <w:rFonts w:hint="eastAsia" w:ascii="楷体" w:hAnsi="楷体" w:eastAsia="楷体"/>
          <w:color w:val="auto"/>
          <w:sz w:val="22"/>
          <w:szCs w:val="22"/>
        </w:rPr>
      </w:pPr>
    </w:p>
    <w:p>
      <w:pPr>
        <w:widowControl/>
        <w:spacing w:line="620" w:lineRule="exact"/>
        <w:ind w:firstLine="643"/>
        <w:rPr>
          <w:rFonts w:hint="eastAsia" w:ascii="楷体" w:hAnsi="楷体" w:eastAsia="楷体"/>
          <w:color w:val="auto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16C79"/>
    <w:multiLevelType w:val="multilevel"/>
    <w:tmpl w:val="5E616C7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zg5MjczNDhmYTFiNWE1MDdkOTZhM2JjNDRiZGYifQ=="/>
  </w:docVars>
  <w:rsids>
    <w:rsidRoot w:val="00000000"/>
    <w:rsid w:val="6A2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yafei</dc:creator>
  <cp:lastModifiedBy>子不语</cp:lastModifiedBy>
  <dcterms:modified xsi:type="dcterms:W3CDTF">2022-09-27T06:30:25Z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611B4FAF6C48487B9651D4784B5C5CB8</vt:lpwstr>
  </property>
</Properties>
</file>